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6D8" w:rsidRDefault="00AF56D8" w:rsidP="00AF56D8">
      <w:pPr>
        <w:shd w:val="clear" w:color="auto" w:fill="FFFFFF"/>
        <w:suppressAutoHyphens w:val="0"/>
        <w:jc w:val="center"/>
        <w:rPr>
          <w:b/>
          <w:bCs/>
          <w:color w:val="000000"/>
          <w:sz w:val="22"/>
          <w:szCs w:val="22"/>
          <w:lang w:eastAsia="ru-RU"/>
        </w:rPr>
      </w:pPr>
      <w:r>
        <w:rPr>
          <w:b/>
          <w:bCs/>
          <w:color w:val="000000"/>
          <w:sz w:val="22"/>
          <w:szCs w:val="22"/>
          <w:lang w:eastAsia="ru-RU"/>
        </w:rPr>
        <w:t>Протокол от 29.01.2021 года</w:t>
      </w:r>
    </w:p>
    <w:p w:rsidR="00AF56D8" w:rsidRDefault="00AF56D8" w:rsidP="00AF56D8">
      <w:pPr>
        <w:shd w:val="clear" w:color="auto" w:fill="FFFFFF"/>
        <w:suppressAutoHyphens w:val="0"/>
        <w:jc w:val="both"/>
        <w:rPr>
          <w:rFonts w:ascii="yandex-sans" w:hAnsi="yandex-sans"/>
          <w:color w:val="000000"/>
          <w:sz w:val="23"/>
          <w:szCs w:val="23"/>
          <w:lang w:eastAsia="ru-RU"/>
        </w:rPr>
      </w:pPr>
      <w:r>
        <w:rPr>
          <w:rFonts w:ascii="yandex-sans" w:hAnsi="yandex-sans"/>
          <w:color w:val="000000"/>
          <w:sz w:val="23"/>
          <w:szCs w:val="23"/>
          <w:lang w:eastAsia="ru-RU"/>
        </w:rPr>
        <w:t>об итогах проведенного закупа способом запроса ценовых предложений «Приобретение лекарственных средств и изделия медицинского назначения</w:t>
      </w:r>
      <w:r>
        <w:rPr>
          <w:rFonts w:ascii="Calibri" w:hAnsi="Calibri"/>
          <w:color w:val="000000"/>
          <w:sz w:val="23"/>
          <w:szCs w:val="23"/>
          <w:lang w:eastAsia="ru-RU"/>
        </w:rPr>
        <w:t xml:space="preserve"> на 2021 год</w:t>
      </w:r>
      <w:r>
        <w:rPr>
          <w:rFonts w:ascii="yandex-sans" w:hAnsi="yandex-sans"/>
          <w:color w:val="000000"/>
          <w:sz w:val="23"/>
          <w:szCs w:val="23"/>
          <w:lang w:eastAsia="ru-RU"/>
        </w:rPr>
        <w:t>»</w:t>
      </w:r>
    </w:p>
    <w:p w:rsidR="00AF56D8" w:rsidRDefault="00AF56D8" w:rsidP="00AF56D8">
      <w:pPr>
        <w:shd w:val="clear" w:color="auto" w:fill="FFFFFF"/>
        <w:suppressAutoHyphens w:val="0"/>
        <w:jc w:val="both"/>
        <w:rPr>
          <w:rFonts w:ascii="Calibri" w:hAnsi="Calibri"/>
          <w:color w:val="000000"/>
          <w:sz w:val="23"/>
          <w:szCs w:val="23"/>
          <w:lang w:eastAsia="ru-RU"/>
        </w:rPr>
      </w:pPr>
      <w:r>
        <w:rPr>
          <w:rFonts w:ascii="yandex-sans" w:hAnsi="yandex-sans"/>
          <w:color w:val="000000"/>
          <w:sz w:val="23"/>
          <w:szCs w:val="23"/>
          <w:lang w:eastAsia="ru-RU"/>
        </w:rPr>
        <w:t>Заказчик КГП на ПХВ «Шарская  городская  больница» УЗ ВКО, находящееся по адресу: РК, ВКО, Жарминский район, г.Шар, ул.Варепа ,2, находящееся по адресу: РК, ВКО, Жарминский район, г.Шар, ул.Варепа ,2</w:t>
      </w:r>
    </w:p>
    <w:p w:rsidR="00AF56D8" w:rsidRDefault="00AF56D8" w:rsidP="00AF56D8">
      <w:pPr>
        <w:shd w:val="clear" w:color="auto" w:fill="FFFFFF"/>
        <w:suppressAutoHyphens w:val="0"/>
        <w:jc w:val="both"/>
        <w:rPr>
          <w:rFonts w:ascii="yandex-sans" w:hAnsi="yandex-sans"/>
          <w:color w:val="000000"/>
          <w:sz w:val="23"/>
          <w:szCs w:val="23"/>
          <w:lang w:eastAsia="ru-RU"/>
        </w:rPr>
      </w:pPr>
      <w:r>
        <w:rPr>
          <w:rFonts w:ascii="yandex-sans" w:hAnsi="yandex-sans"/>
          <w:color w:val="000000"/>
          <w:sz w:val="23"/>
          <w:szCs w:val="23"/>
          <w:lang w:eastAsia="ru-RU"/>
        </w:rPr>
        <w:t>закуп способом запроса ценовых предложений</w:t>
      </w:r>
    </w:p>
    <w:p w:rsidR="00AF56D8" w:rsidRDefault="00AF56D8" w:rsidP="00AF56D8">
      <w:pPr>
        <w:spacing w:after="160" w:line="252" w:lineRule="auto"/>
        <w:ind w:left="720"/>
        <w:rPr>
          <w:b/>
          <w:color w:val="000000"/>
          <w:sz w:val="22"/>
          <w:szCs w:val="22"/>
        </w:rPr>
      </w:pPr>
    </w:p>
    <w:p w:rsidR="00AF56D8" w:rsidRDefault="00AF56D8" w:rsidP="00AF56D8">
      <w:pPr>
        <w:shd w:val="clear" w:color="auto" w:fill="FFFFFF"/>
        <w:suppressAutoHyphens w:val="0"/>
        <w:rPr>
          <w:rFonts w:ascii="Calibri" w:hAnsi="Calibri"/>
          <w:color w:val="000000"/>
          <w:sz w:val="23"/>
          <w:szCs w:val="23"/>
          <w:lang w:eastAsia="ru-RU"/>
        </w:rPr>
      </w:pPr>
      <w:r>
        <w:rPr>
          <w:rFonts w:ascii="yandex-sans" w:hAnsi="yandex-sans"/>
          <w:color w:val="000000"/>
          <w:sz w:val="23"/>
          <w:szCs w:val="23"/>
          <w:lang w:eastAsia="ru-RU"/>
        </w:rPr>
        <w:t>1.Следующие потенциальные поставщики предоставили ценовые предложения:</w:t>
      </w:r>
    </w:p>
    <w:tbl>
      <w:tblPr>
        <w:tblW w:w="14046" w:type="dxa"/>
        <w:jc w:val="center"/>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6"/>
        <w:gridCol w:w="2404"/>
        <w:gridCol w:w="6903"/>
        <w:gridCol w:w="1246"/>
        <w:gridCol w:w="1017"/>
        <w:gridCol w:w="1380"/>
      </w:tblGrid>
      <w:tr w:rsidR="00AF56D8" w:rsidTr="00AF56D8">
        <w:trPr>
          <w:trHeight w:val="277"/>
          <w:jc w:val="center"/>
        </w:trPr>
        <w:tc>
          <w:tcPr>
            <w:tcW w:w="1051" w:type="dxa"/>
            <w:tcBorders>
              <w:top w:val="single" w:sz="4" w:space="0" w:color="auto"/>
              <w:left w:val="single" w:sz="4" w:space="0" w:color="auto"/>
              <w:bottom w:val="single" w:sz="4" w:space="0" w:color="auto"/>
              <w:right w:val="single" w:sz="4" w:space="0" w:color="auto"/>
            </w:tcBorders>
            <w:hideMark/>
          </w:tcPr>
          <w:p w:rsidR="00AF56D8" w:rsidRDefault="00AF56D8">
            <w:pPr>
              <w:suppressAutoHyphens w:val="0"/>
              <w:ind w:left="360"/>
              <w:rPr>
                <w:sz w:val="16"/>
                <w:szCs w:val="16"/>
                <w:lang w:val="kk-KZ" w:eastAsia="ru-RU"/>
              </w:rPr>
            </w:pPr>
            <w:r>
              <w:rPr>
                <w:sz w:val="16"/>
                <w:szCs w:val="16"/>
                <w:lang w:eastAsia="ru-RU"/>
              </w:rPr>
              <w:t>№ лота</w:t>
            </w:r>
          </w:p>
        </w:tc>
        <w:tc>
          <w:tcPr>
            <w:tcW w:w="2420" w:type="dxa"/>
            <w:tcBorders>
              <w:top w:val="single" w:sz="4" w:space="0" w:color="auto"/>
              <w:left w:val="single" w:sz="4" w:space="0" w:color="auto"/>
              <w:bottom w:val="single" w:sz="4" w:space="0" w:color="auto"/>
              <w:right w:val="single" w:sz="4" w:space="0" w:color="auto"/>
            </w:tcBorders>
            <w:hideMark/>
          </w:tcPr>
          <w:p w:rsidR="00AF56D8" w:rsidRDefault="00AF56D8">
            <w:pPr>
              <w:suppressAutoHyphens w:val="0"/>
              <w:jc w:val="center"/>
              <w:rPr>
                <w:color w:val="000000"/>
                <w:sz w:val="18"/>
                <w:szCs w:val="18"/>
                <w:lang w:val="kk-KZ" w:eastAsia="ru-RU"/>
              </w:rPr>
            </w:pPr>
            <w:r>
              <w:rPr>
                <w:sz w:val="16"/>
                <w:szCs w:val="16"/>
                <w:lang w:val="kk-KZ" w:eastAsia="ru-RU"/>
              </w:rPr>
              <w:t xml:space="preserve">Наименование </w:t>
            </w:r>
          </w:p>
        </w:tc>
        <w:tc>
          <w:tcPr>
            <w:tcW w:w="7019" w:type="dxa"/>
            <w:tcBorders>
              <w:top w:val="single" w:sz="4" w:space="0" w:color="auto"/>
              <w:left w:val="single" w:sz="4" w:space="0" w:color="auto"/>
              <w:bottom w:val="single" w:sz="4" w:space="0" w:color="auto"/>
              <w:right w:val="single" w:sz="4" w:space="0" w:color="auto"/>
            </w:tcBorders>
            <w:hideMark/>
          </w:tcPr>
          <w:p w:rsidR="00AF56D8" w:rsidRDefault="00AF56D8">
            <w:pPr>
              <w:suppressAutoHyphens w:val="0"/>
              <w:jc w:val="center"/>
              <w:rPr>
                <w:color w:val="000000"/>
                <w:sz w:val="16"/>
                <w:szCs w:val="16"/>
                <w:lang w:eastAsia="ru-RU"/>
              </w:rPr>
            </w:pPr>
            <w:r>
              <w:rPr>
                <w:color w:val="000000"/>
                <w:sz w:val="16"/>
                <w:szCs w:val="16"/>
                <w:lang w:eastAsia="ru-RU"/>
              </w:rPr>
              <w:t>Техническая специфическая</w:t>
            </w:r>
          </w:p>
        </w:tc>
        <w:tc>
          <w:tcPr>
            <w:tcW w:w="1252" w:type="dxa"/>
            <w:tcBorders>
              <w:top w:val="single" w:sz="4" w:space="0" w:color="auto"/>
              <w:left w:val="single" w:sz="4" w:space="0" w:color="auto"/>
              <w:bottom w:val="single" w:sz="4" w:space="0" w:color="auto"/>
              <w:right w:val="single" w:sz="4" w:space="0" w:color="auto"/>
            </w:tcBorders>
            <w:hideMark/>
          </w:tcPr>
          <w:p w:rsidR="00AF56D8" w:rsidRDefault="00AF56D8">
            <w:pPr>
              <w:suppressAutoHyphens w:val="0"/>
              <w:jc w:val="center"/>
              <w:rPr>
                <w:color w:val="000000"/>
                <w:sz w:val="16"/>
                <w:szCs w:val="16"/>
                <w:lang w:eastAsia="ru-RU"/>
              </w:rPr>
            </w:pPr>
            <w:r>
              <w:rPr>
                <w:sz w:val="16"/>
                <w:szCs w:val="16"/>
                <w:lang w:eastAsia="ru-RU"/>
              </w:rPr>
              <w:t>Ед. измерения</w:t>
            </w:r>
          </w:p>
        </w:tc>
        <w:tc>
          <w:tcPr>
            <w:tcW w:w="1017" w:type="dxa"/>
            <w:tcBorders>
              <w:top w:val="single" w:sz="4" w:space="0" w:color="auto"/>
              <w:left w:val="single" w:sz="4" w:space="0" w:color="auto"/>
              <w:bottom w:val="single" w:sz="4" w:space="0" w:color="auto"/>
              <w:right w:val="single" w:sz="4" w:space="0" w:color="auto"/>
            </w:tcBorders>
            <w:hideMark/>
          </w:tcPr>
          <w:p w:rsidR="00AF56D8" w:rsidRDefault="00AF56D8">
            <w:pPr>
              <w:suppressAutoHyphens w:val="0"/>
              <w:jc w:val="center"/>
              <w:rPr>
                <w:color w:val="000000"/>
                <w:sz w:val="16"/>
                <w:szCs w:val="16"/>
                <w:lang w:eastAsia="ru-RU"/>
              </w:rPr>
            </w:pPr>
            <w:r>
              <w:rPr>
                <w:sz w:val="16"/>
                <w:szCs w:val="16"/>
                <w:lang w:val="kk-KZ" w:eastAsia="ru-RU"/>
              </w:rPr>
              <w:t>Количество</w:t>
            </w:r>
          </w:p>
        </w:tc>
        <w:tc>
          <w:tcPr>
            <w:tcW w:w="1287" w:type="dxa"/>
            <w:tcBorders>
              <w:top w:val="single" w:sz="4" w:space="0" w:color="auto"/>
              <w:left w:val="single" w:sz="4" w:space="0" w:color="auto"/>
              <w:bottom w:val="single" w:sz="4" w:space="0" w:color="auto"/>
              <w:right w:val="single" w:sz="4" w:space="0" w:color="auto"/>
            </w:tcBorders>
            <w:hideMark/>
          </w:tcPr>
          <w:p w:rsidR="00AF56D8" w:rsidRDefault="00AF56D8">
            <w:pPr>
              <w:suppressAutoHyphens w:val="0"/>
              <w:jc w:val="center"/>
              <w:rPr>
                <w:sz w:val="16"/>
                <w:szCs w:val="16"/>
                <w:lang w:val="kk-KZ" w:eastAsia="ru-RU"/>
              </w:rPr>
            </w:pPr>
            <w:r>
              <w:rPr>
                <w:sz w:val="16"/>
                <w:szCs w:val="16"/>
                <w:lang w:val="kk-KZ" w:eastAsia="ru-RU"/>
              </w:rPr>
              <w:t>Цена,тенге ТОО "МедТехСервис"</w:t>
            </w:r>
          </w:p>
        </w:tc>
      </w:tr>
      <w:tr w:rsidR="00AF56D8" w:rsidTr="00AF56D8">
        <w:trPr>
          <w:trHeight w:val="277"/>
          <w:jc w:val="center"/>
        </w:trPr>
        <w:tc>
          <w:tcPr>
            <w:tcW w:w="1051" w:type="dxa"/>
            <w:tcBorders>
              <w:top w:val="single" w:sz="4" w:space="0" w:color="auto"/>
              <w:left w:val="single" w:sz="4" w:space="0" w:color="auto"/>
              <w:bottom w:val="single" w:sz="4" w:space="0" w:color="auto"/>
              <w:right w:val="single" w:sz="4" w:space="0" w:color="auto"/>
            </w:tcBorders>
            <w:hideMark/>
          </w:tcPr>
          <w:p w:rsidR="00AF56D8" w:rsidRDefault="00AF56D8">
            <w:pPr>
              <w:suppressAutoHyphens w:val="0"/>
              <w:ind w:left="720"/>
              <w:rPr>
                <w:sz w:val="16"/>
                <w:szCs w:val="16"/>
                <w:lang w:val="kk-KZ" w:eastAsia="ru-RU"/>
              </w:rPr>
            </w:pPr>
            <w:r>
              <w:rPr>
                <w:sz w:val="16"/>
                <w:szCs w:val="16"/>
                <w:lang w:val="kk-KZ" w:eastAsia="ru-RU"/>
              </w:rPr>
              <w:t>1</w:t>
            </w:r>
          </w:p>
        </w:tc>
        <w:tc>
          <w:tcPr>
            <w:tcW w:w="2420"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rPr>
                <w:sz w:val="18"/>
                <w:szCs w:val="18"/>
              </w:rPr>
            </w:pPr>
            <w:r>
              <w:t>Изотонический разбавитель</w:t>
            </w:r>
          </w:p>
        </w:tc>
        <w:tc>
          <w:tcPr>
            <w:tcW w:w="7019" w:type="dxa"/>
            <w:tcBorders>
              <w:top w:val="single" w:sz="4" w:space="0" w:color="auto"/>
              <w:left w:val="single" w:sz="4" w:space="0" w:color="auto"/>
              <w:bottom w:val="single" w:sz="4" w:space="0" w:color="auto"/>
              <w:right w:val="single" w:sz="4" w:space="0" w:color="auto"/>
            </w:tcBorders>
            <w:hideMark/>
          </w:tcPr>
          <w:p w:rsidR="00AF56D8" w:rsidRDefault="00AF56D8">
            <w:pPr>
              <w:suppressAutoHyphens w:val="0"/>
              <w:jc w:val="center"/>
              <w:rPr>
                <w:sz w:val="16"/>
                <w:szCs w:val="16"/>
                <w:lang w:val="kk-KZ" w:eastAsia="ru-RU"/>
              </w:rPr>
            </w:pPr>
            <w:r>
              <w:t xml:space="preserve">Специальный разбавитель марки </w:t>
            </w:r>
            <w:r>
              <w:rPr>
                <w:lang w:val="en-US"/>
              </w:rPr>
              <w:t>M</w:t>
            </w:r>
            <w:r>
              <w:t xml:space="preserve">30 </w:t>
            </w:r>
            <w:r>
              <w:rPr>
                <w:lang w:val="en-US"/>
              </w:rPr>
              <w:t>D</w:t>
            </w:r>
            <w:r>
              <w:t>,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системы. Объем упаковки не менее 20 литров.</w:t>
            </w:r>
          </w:p>
        </w:tc>
        <w:tc>
          <w:tcPr>
            <w:tcW w:w="1252"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rPr>
                <w:color w:val="000000"/>
                <w:sz w:val="16"/>
                <w:szCs w:val="16"/>
                <w:lang w:eastAsia="ru-RU"/>
              </w:rPr>
            </w:pPr>
            <w:r>
              <w:t>канистра</w:t>
            </w:r>
          </w:p>
        </w:tc>
        <w:tc>
          <w:tcPr>
            <w:tcW w:w="1017" w:type="dxa"/>
            <w:tcBorders>
              <w:top w:val="single" w:sz="6" w:space="0" w:color="000000"/>
              <w:left w:val="single" w:sz="6" w:space="0" w:color="000000"/>
              <w:bottom w:val="single" w:sz="6" w:space="0" w:color="000000"/>
              <w:right w:val="single" w:sz="6" w:space="0" w:color="000000"/>
            </w:tcBorders>
            <w:vAlign w:val="center"/>
            <w:hideMark/>
          </w:tcPr>
          <w:p w:rsidR="00AF56D8" w:rsidRDefault="00AF56D8">
            <w:pPr>
              <w:suppressAutoHyphens w:val="0"/>
              <w:jc w:val="center"/>
            </w:pPr>
            <w:r>
              <w:t>10</w:t>
            </w:r>
          </w:p>
        </w:tc>
        <w:tc>
          <w:tcPr>
            <w:tcW w:w="1287" w:type="dxa"/>
            <w:tcBorders>
              <w:top w:val="nil"/>
              <w:left w:val="nil"/>
              <w:bottom w:val="single" w:sz="4" w:space="0" w:color="auto"/>
              <w:right w:val="single" w:sz="4" w:space="0" w:color="auto"/>
            </w:tcBorders>
            <w:vAlign w:val="center"/>
            <w:hideMark/>
          </w:tcPr>
          <w:p w:rsidR="00AF56D8" w:rsidRDefault="00AF56D8">
            <w:pPr>
              <w:suppressAutoHyphens w:val="0"/>
              <w:jc w:val="center"/>
            </w:pPr>
            <w:r>
              <w:t>97 715,00</w:t>
            </w:r>
          </w:p>
        </w:tc>
      </w:tr>
      <w:tr w:rsidR="00AF56D8" w:rsidTr="00AF56D8">
        <w:trPr>
          <w:trHeight w:val="277"/>
          <w:jc w:val="center"/>
        </w:trPr>
        <w:tc>
          <w:tcPr>
            <w:tcW w:w="1051" w:type="dxa"/>
            <w:tcBorders>
              <w:top w:val="single" w:sz="4" w:space="0" w:color="auto"/>
              <w:left w:val="single" w:sz="4" w:space="0" w:color="auto"/>
              <w:bottom w:val="single" w:sz="4" w:space="0" w:color="auto"/>
              <w:right w:val="single" w:sz="4" w:space="0" w:color="auto"/>
            </w:tcBorders>
            <w:hideMark/>
          </w:tcPr>
          <w:p w:rsidR="00AF56D8" w:rsidRDefault="00AF56D8">
            <w:pPr>
              <w:suppressAutoHyphens w:val="0"/>
              <w:ind w:left="720"/>
              <w:rPr>
                <w:sz w:val="16"/>
                <w:szCs w:val="16"/>
                <w:lang w:val="kk-KZ" w:eastAsia="ru-RU"/>
              </w:rPr>
            </w:pPr>
            <w:r>
              <w:rPr>
                <w:sz w:val="16"/>
                <w:szCs w:val="16"/>
                <w:lang w:val="kk-KZ" w:eastAsia="ru-RU"/>
              </w:rPr>
              <w:t>2</w:t>
            </w:r>
          </w:p>
        </w:tc>
        <w:tc>
          <w:tcPr>
            <w:tcW w:w="2420"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rPr>
                <w:sz w:val="18"/>
                <w:szCs w:val="18"/>
              </w:rPr>
            </w:pPr>
            <w:r>
              <w:t>Лизирующий реагент</w:t>
            </w:r>
          </w:p>
        </w:tc>
        <w:tc>
          <w:tcPr>
            <w:tcW w:w="7019" w:type="dxa"/>
            <w:tcBorders>
              <w:top w:val="single" w:sz="4" w:space="0" w:color="auto"/>
              <w:left w:val="single" w:sz="4" w:space="0" w:color="auto"/>
              <w:bottom w:val="single" w:sz="4" w:space="0" w:color="auto"/>
              <w:right w:val="single" w:sz="4" w:space="0" w:color="auto"/>
            </w:tcBorders>
            <w:hideMark/>
          </w:tcPr>
          <w:p w:rsidR="00AF56D8" w:rsidRDefault="00AF56D8">
            <w:pPr>
              <w:suppressAutoHyphens w:val="0"/>
              <w:jc w:val="center"/>
              <w:rPr>
                <w:sz w:val="16"/>
                <w:szCs w:val="16"/>
                <w:lang w:val="kk-KZ" w:eastAsia="ru-RU"/>
              </w:rPr>
            </w:pPr>
            <w:r>
              <w:t xml:space="preserve">Специальный жидкий реагент марки </w:t>
            </w:r>
            <w:r>
              <w:rPr>
                <w:lang w:val="en-US"/>
              </w:rPr>
              <w:t>M</w:t>
            </w:r>
            <w:r>
              <w:t xml:space="preserve">30 </w:t>
            </w:r>
            <w:r>
              <w:rPr>
                <w:lang w:val="en-US"/>
              </w:rPr>
              <w:t>CFL</w:t>
            </w:r>
            <w:r>
              <w:t>, предназначенный для лизирования эритроцитов при подсчете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500мл.</w:t>
            </w:r>
          </w:p>
        </w:tc>
        <w:tc>
          <w:tcPr>
            <w:tcW w:w="1252"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rPr>
                <w:color w:val="000000"/>
                <w:sz w:val="16"/>
                <w:szCs w:val="16"/>
                <w:lang w:eastAsia="ru-RU"/>
              </w:rPr>
            </w:pPr>
            <w:r>
              <w:t>флакон</w:t>
            </w:r>
          </w:p>
        </w:tc>
        <w:tc>
          <w:tcPr>
            <w:tcW w:w="1017" w:type="dxa"/>
            <w:tcBorders>
              <w:top w:val="single" w:sz="6" w:space="0" w:color="000000"/>
              <w:left w:val="single" w:sz="6" w:space="0" w:color="000000"/>
              <w:bottom w:val="single" w:sz="6" w:space="0" w:color="000000"/>
              <w:right w:val="single" w:sz="6" w:space="0" w:color="000000"/>
            </w:tcBorders>
            <w:vAlign w:val="center"/>
            <w:hideMark/>
          </w:tcPr>
          <w:p w:rsidR="00AF56D8" w:rsidRDefault="00AF56D8">
            <w:pPr>
              <w:suppressAutoHyphens w:val="0"/>
              <w:jc w:val="center"/>
            </w:pPr>
            <w:r>
              <w:t>7</w:t>
            </w:r>
          </w:p>
        </w:tc>
        <w:tc>
          <w:tcPr>
            <w:tcW w:w="1287" w:type="dxa"/>
            <w:tcBorders>
              <w:top w:val="nil"/>
              <w:left w:val="nil"/>
              <w:bottom w:val="single" w:sz="4" w:space="0" w:color="auto"/>
              <w:right w:val="single" w:sz="4" w:space="0" w:color="auto"/>
            </w:tcBorders>
            <w:vAlign w:val="center"/>
            <w:hideMark/>
          </w:tcPr>
          <w:p w:rsidR="00AF56D8" w:rsidRDefault="00AF56D8">
            <w:pPr>
              <w:suppressAutoHyphens w:val="0"/>
              <w:jc w:val="center"/>
            </w:pPr>
            <w:r>
              <w:t>90 195,00</w:t>
            </w:r>
          </w:p>
        </w:tc>
      </w:tr>
      <w:tr w:rsidR="00AF56D8" w:rsidTr="00AF56D8">
        <w:trPr>
          <w:trHeight w:val="277"/>
          <w:jc w:val="center"/>
        </w:trPr>
        <w:tc>
          <w:tcPr>
            <w:tcW w:w="1051" w:type="dxa"/>
            <w:tcBorders>
              <w:top w:val="single" w:sz="4" w:space="0" w:color="auto"/>
              <w:left w:val="single" w:sz="4" w:space="0" w:color="auto"/>
              <w:bottom w:val="single" w:sz="4" w:space="0" w:color="auto"/>
              <w:right w:val="single" w:sz="4" w:space="0" w:color="auto"/>
            </w:tcBorders>
            <w:hideMark/>
          </w:tcPr>
          <w:p w:rsidR="00AF56D8" w:rsidRDefault="00AF56D8">
            <w:pPr>
              <w:suppressAutoHyphens w:val="0"/>
              <w:ind w:left="720"/>
              <w:rPr>
                <w:sz w:val="16"/>
                <w:szCs w:val="16"/>
                <w:lang w:val="kk-KZ" w:eastAsia="ru-RU"/>
              </w:rPr>
            </w:pPr>
            <w:r>
              <w:rPr>
                <w:sz w:val="16"/>
                <w:szCs w:val="16"/>
                <w:lang w:val="kk-KZ" w:eastAsia="ru-RU"/>
              </w:rPr>
              <w:t>3</w:t>
            </w:r>
          </w:p>
        </w:tc>
        <w:tc>
          <w:tcPr>
            <w:tcW w:w="2420"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pPr>
            <w:r>
              <w:t>Моющий реагент</w:t>
            </w:r>
          </w:p>
        </w:tc>
        <w:tc>
          <w:tcPr>
            <w:tcW w:w="7019" w:type="dxa"/>
            <w:tcBorders>
              <w:top w:val="single" w:sz="4" w:space="0" w:color="auto"/>
              <w:left w:val="single" w:sz="4" w:space="0" w:color="auto"/>
              <w:bottom w:val="single" w:sz="4" w:space="0" w:color="auto"/>
              <w:right w:val="single" w:sz="4" w:space="0" w:color="auto"/>
            </w:tcBorders>
            <w:hideMark/>
          </w:tcPr>
          <w:p w:rsidR="00AF56D8" w:rsidRDefault="00AF56D8">
            <w:pPr>
              <w:suppressAutoHyphens w:val="0"/>
              <w:jc w:val="center"/>
            </w:pPr>
            <w:r>
              <w:t xml:space="preserve">Специальный реагент марки </w:t>
            </w:r>
            <w:r>
              <w:rPr>
                <w:lang w:val="en-US"/>
              </w:rPr>
              <w:t>M</w:t>
            </w:r>
            <w:r>
              <w:t xml:space="preserve">30 </w:t>
            </w:r>
            <w:r>
              <w:rPr>
                <w:lang w:val="en-US"/>
              </w:rPr>
              <w:t xml:space="preserve">R </w:t>
            </w:r>
            <w:r>
              <w:t>предназначенный для промывки трубопроводов, счетных камер при запуске, выключении, а также после каждого анализа. В составе не должно содержаться никаких вредных веществ. Упаковка должна быть маркирована специальным штриховым кодом совместимым со считывателем для закрытой системы. Объем упаковки не менее 20 литров.</w:t>
            </w:r>
          </w:p>
        </w:tc>
        <w:tc>
          <w:tcPr>
            <w:tcW w:w="1252"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rPr>
                <w:lang w:eastAsia="zh-CN"/>
              </w:rPr>
            </w:pPr>
            <w:r>
              <w:t>канистра</w:t>
            </w:r>
          </w:p>
        </w:tc>
        <w:tc>
          <w:tcPr>
            <w:tcW w:w="1017" w:type="dxa"/>
            <w:tcBorders>
              <w:top w:val="single" w:sz="6" w:space="0" w:color="000000"/>
              <w:left w:val="single" w:sz="6" w:space="0" w:color="000000"/>
              <w:bottom w:val="single" w:sz="6" w:space="0" w:color="000000"/>
              <w:right w:val="single" w:sz="6" w:space="0" w:color="000000"/>
            </w:tcBorders>
            <w:vAlign w:val="center"/>
            <w:hideMark/>
          </w:tcPr>
          <w:p w:rsidR="00AF56D8" w:rsidRDefault="00AF56D8">
            <w:pPr>
              <w:suppressAutoHyphens w:val="0"/>
              <w:jc w:val="center"/>
            </w:pPr>
            <w:r>
              <w:t>5</w:t>
            </w:r>
          </w:p>
        </w:tc>
        <w:tc>
          <w:tcPr>
            <w:tcW w:w="1287" w:type="dxa"/>
            <w:tcBorders>
              <w:top w:val="nil"/>
              <w:left w:val="nil"/>
              <w:bottom w:val="single" w:sz="4" w:space="0" w:color="auto"/>
              <w:right w:val="single" w:sz="4" w:space="0" w:color="auto"/>
            </w:tcBorders>
            <w:vAlign w:val="center"/>
            <w:hideMark/>
          </w:tcPr>
          <w:p w:rsidR="00AF56D8" w:rsidRDefault="00AF56D8">
            <w:pPr>
              <w:suppressAutoHyphens w:val="0"/>
              <w:jc w:val="center"/>
            </w:pPr>
            <w:r>
              <w:t>102 100,00</w:t>
            </w:r>
          </w:p>
        </w:tc>
      </w:tr>
      <w:tr w:rsidR="00AF56D8" w:rsidTr="00AF56D8">
        <w:trPr>
          <w:trHeight w:val="277"/>
          <w:jc w:val="center"/>
        </w:trPr>
        <w:tc>
          <w:tcPr>
            <w:tcW w:w="1051" w:type="dxa"/>
            <w:tcBorders>
              <w:top w:val="single" w:sz="4" w:space="0" w:color="auto"/>
              <w:left w:val="single" w:sz="4" w:space="0" w:color="auto"/>
              <w:bottom w:val="single" w:sz="4" w:space="0" w:color="auto"/>
              <w:right w:val="single" w:sz="4" w:space="0" w:color="auto"/>
            </w:tcBorders>
            <w:hideMark/>
          </w:tcPr>
          <w:p w:rsidR="00AF56D8" w:rsidRDefault="00AF56D8">
            <w:pPr>
              <w:suppressAutoHyphens w:val="0"/>
              <w:ind w:left="720"/>
              <w:rPr>
                <w:sz w:val="16"/>
                <w:szCs w:val="16"/>
                <w:lang w:val="kk-KZ" w:eastAsia="ru-RU"/>
              </w:rPr>
            </w:pPr>
            <w:r>
              <w:rPr>
                <w:sz w:val="16"/>
                <w:szCs w:val="16"/>
                <w:lang w:val="kk-KZ" w:eastAsia="ru-RU"/>
              </w:rPr>
              <w:t>4</w:t>
            </w:r>
          </w:p>
        </w:tc>
        <w:tc>
          <w:tcPr>
            <w:tcW w:w="2420"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pPr>
            <w:r>
              <w:t>Чистящий реагент</w:t>
            </w:r>
          </w:p>
        </w:tc>
        <w:tc>
          <w:tcPr>
            <w:tcW w:w="7019" w:type="dxa"/>
            <w:tcBorders>
              <w:top w:val="single" w:sz="4" w:space="0" w:color="auto"/>
              <w:left w:val="single" w:sz="4" w:space="0" w:color="auto"/>
              <w:bottom w:val="single" w:sz="4" w:space="0" w:color="auto"/>
              <w:right w:val="single" w:sz="4" w:space="0" w:color="auto"/>
            </w:tcBorders>
            <w:hideMark/>
          </w:tcPr>
          <w:p w:rsidR="00AF56D8" w:rsidRDefault="00AF56D8">
            <w:pPr>
              <w:suppressAutoHyphens w:val="0"/>
              <w:jc w:val="center"/>
            </w:pPr>
            <w:r>
              <w:t>Универсальный чистящий реагент М30 Р,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Реагент должен быть в наборе  из 12 флаконов. Каждый флакон по 17мл. Данная фасовка предназначена для удобства и совместимости с длиной аспирационного зонда при проведении процедуры очистки анализатора.</w:t>
            </w:r>
          </w:p>
        </w:tc>
        <w:tc>
          <w:tcPr>
            <w:tcW w:w="1252"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rPr>
                <w:lang w:eastAsia="zh-CN"/>
              </w:rPr>
            </w:pPr>
            <w:r>
              <w:t>флакон</w:t>
            </w:r>
          </w:p>
        </w:tc>
        <w:tc>
          <w:tcPr>
            <w:tcW w:w="1017" w:type="dxa"/>
            <w:tcBorders>
              <w:top w:val="single" w:sz="6" w:space="0" w:color="000000"/>
              <w:left w:val="single" w:sz="6" w:space="0" w:color="000000"/>
              <w:bottom w:val="single" w:sz="6" w:space="0" w:color="000000"/>
              <w:right w:val="single" w:sz="6" w:space="0" w:color="000000"/>
            </w:tcBorders>
            <w:vAlign w:val="center"/>
            <w:hideMark/>
          </w:tcPr>
          <w:p w:rsidR="00AF56D8" w:rsidRDefault="00AF56D8">
            <w:pPr>
              <w:suppressAutoHyphens w:val="0"/>
              <w:jc w:val="center"/>
            </w:pPr>
            <w:r>
              <w:t>24</w:t>
            </w:r>
          </w:p>
        </w:tc>
        <w:tc>
          <w:tcPr>
            <w:tcW w:w="1287" w:type="dxa"/>
            <w:tcBorders>
              <w:top w:val="nil"/>
              <w:left w:val="nil"/>
              <w:bottom w:val="single" w:sz="4" w:space="0" w:color="auto"/>
              <w:right w:val="single" w:sz="4" w:space="0" w:color="auto"/>
            </w:tcBorders>
            <w:vAlign w:val="center"/>
            <w:hideMark/>
          </w:tcPr>
          <w:p w:rsidR="00AF56D8" w:rsidRDefault="00AF56D8">
            <w:pPr>
              <w:suppressAutoHyphens w:val="0"/>
              <w:jc w:val="center"/>
            </w:pPr>
            <w:r>
              <w:t>3 000,00</w:t>
            </w:r>
          </w:p>
        </w:tc>
      </w:tr>
      <w:tr w:rsidR="00AF56D8" w:rsidTr="00AF56D8">
        <w:trPr>
          <w:trHeight w:val="277"/>
          <w:jc w:val="center"/>
        </w:trPr>
        <w:tc>
          <w:tcPr>
            <w:tcW w:w="1051" w:type="dxa"/>
            <w:tcBorders>
              <w:top w:val="single" w:sz="4" w:space="0" w:color="auto"/>
              <w:left w:val="single" w:sz="4" w:space="0" w:color="auto"/>
              <w:bottom w:val="single" w:sz="4" w:space="0" w:color="auto"/>
              <w:right w:val="single" w:sz="4" w:space="0" w:color="auto"/>
            </w:tcBorders>
            <w:hideMark/>
          </w:tcPr>
          <w:p w:rsidR="00AF56D8" w:rsidRDefault="00AF56D8">
            <w:pPr>
              <w:suppressAutoHyphens w:val="0"/>
              <w:ind w:left="720"/>
              <w:rPr>
                <w:sz w:val="16"/>
                <w:szCs w:val="16"/>
                <w:lang w:val="kk-KZ" w:eastAsia="ru-RU"/>
              </w:rPr>
            </w:pPr>
            <w:r>
              <w:rPr>
                <w:sz w:val="16"/>
                <w:szCs w:val="16"/>
                <w:lang w:val="kk-KZ" w:eastAsia="ru-RU"/>
              </w:rPr>
              <w:t>5</w:t>
            </w:r>
          </w:p>
        </w:tc>
        <w:tc>
          <w:tcPr>
            <w:tcW w:w="2420"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pPr>
            <w:r>
              <w:t xml:space="preserve">Набор контрольных </w:t>
            </w:r>
            <w:r>
              <w:lastRenderedPageBreak/>
              <w:t>растворов</w:t>
            </w:r>
          </w:p>
        </w:tc>
        <w:tc>
          <w:tcPr>
            <w:tcW w:w="7019" w:type="dxa"/>
            <w:tcBorders>
              <w:top w:val="single" w:sz="4" w:space="0" w:color="auto"/>
              <w:left w:val="single" w:sz="4" w:space="0" w:color="auto"/>
              <w:bottom w:val="single" w:sz="4" w:space="0" w:color="auto"/>
              <w:right w:val="single" w:sz="4" w:space="0" w:color="auto"/>
            </w:tcBorders>
            <w:hideMark/>
          </w:tcPr>
          <w:p w:rsidR="00AF56D8" w:rsidRDefault="00AF56D8">
            <w:pPr>
              <w:suppressAutoHyphens w:val="0"/>
              <w:jc w:val="center"/>
            </w:pPr>
            <w:r>
              <w:lastRenderedPageBreak/>
              <w:t xml:space="preserve">Набор марки В30 предназначен для ежедневного проведения </w:t>
            </w:r>
            <w:r>
              <w:lastRenderedPageBreak/>
              <w:t>внутрилабораторного контроля точности измерений на приборах использующих в работе базовые реагенты М30.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трехвершинной кривой распределения лейкоцитов, эритроцитов и тромбоцитов.  Наличие аттестованных референтных параметров соответствующих низким, нормальным и высоким показателям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 для автоматического ввода референтных параметров в память прибора.</w:t>
            </w:r>
          </w:p>
        </w:tc>
        <w:tc>
          <w:tcPr>
            <w:tcW w:w="1252"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rPr>
                <w:lang w:eastAsia="zh-CN"/>
              </w:rPr>
            </w:pPr>
            <w:r>
              <w:lastRenderedPageBreak/>
              <w:t>упаковка</w:t>
            </w:r>
          </w:p>
        </w:tc>
        <w:tc>
          <w:tcPr>
            <w:tcW w:w="1017" w:type="dxa"/>
            <w:tcBorders>
              <w:top w:val="single" w:sz="6" w:space="0" w:color="000000"/>
              <w:left w:val="single" w:sz="6" w:space="0" w:color="000000"/>
              <w:bottom w:val="single" w:sz="6" w:space="0" w:color="000000"/>
              <w:right w:val="single" w:sz="6" w:space="0" w:color="000000"/>
            </w:tcBorders>
            <w:vAlign w:val="center"/>
            <w:hideMark/>
          </w:tcPr>
          <w:p w:rsidR="00AF56D8" w:rsidRDefault="00AF56D8">
            <w:pPr>
              <w:suppressAutoHyphens w:val="0"/>
              <w:jc w:val="center"/>
            </w:pPr>
            <w:r>
              <w:t>3</w:t>
            </w:r>
          </w:p>
        </w:tc>
        <w:tc>
          <w:tcPr>
            <w:tcW w:w="1287" w:type="dxa"/>
            <w:tcBorders>
              <w:top w:val="nil"/>
              <w:left w:val="nil"/>
              <w:bottom w:val="single" w:sz="4" w:space="0" w:color="auto"/>
              <w:right w:val="single" w:sz="4" w:space="0" w:color="auto"/>
            </w:tcBorders>
            <w:vAlign w:val="center"/>
            <w:hideMark/>
          </w:tcPr>
          <w:p w:rsidR="00AF56D8" w:rsidRDefault="00AF56D8">
            <w:pPr>
              <w:suppressAutoHyphens w:val="0"/>
              <w:jc w:val="center"/>
            </w:pPr>
            <w:r>
              <w:t>238 000,00</w:t>
            </w:r>
          </w:p>
        </w:tc>
      </w:tr>
      <w:tr w:rsidR="00AF56D8" w:rsidTr="00AF56D8">
        <w:trPr>
          <w:trHeight w:val="277"/>
          <w:jc w:val="center"/>
        </w:trPr>
        <w:tc>
          <w:tcPr>
            <w:tcW w:w="1051" w:type="dxa"/>
            <w:tcBorders>
              <w:top w:val="single" w:sz="4" w:space="0" w:color="auto"/>
              <w:left w:val="single" w:sz="4" w:space="0" w:color="auto"/>
              <w:bottom w:val="single" w:sz="4" w:space="0" w:color="auto"/>
              <w:right w:val="single" w:sz="4" w:space="0" w:color="auto"/>
            </w:tcBorders>
            <w:hideMark/>
          </w:tcPr>
          <w:p w:rsidR="00AF56D8" w:rsidRDefault="00AF56D8">
            <w:pPr>
              <w:suppressAutoHyphens w:val="0"/>
              <w:ind w:left="720"/>
              <w:rPr>
                <w:sz w:val="16"/>
                <w:szCs w:val="16"/>
                <w:lang w:val="kk-KZ" w:eastAsia="ru-RU"/>
              </w:rPr>
            </w:pPr>
            <w:r>
              <w:rPr>
                <w:sz w:val="16"/>
                <w:szCs w:val="16"/>
                <w:lang w:val="kk-KZ" w:eastAsia="ru-RU"/>
              </w:rPr>
              <w:lastRenderedPageBreak/>
              <w:t>6</w:t>
            </w:r>
          </w:p>
        </w:tc>
        <w:tc>
          <w:tcPr>
            <w:tcW w:w="2420" w:type="dxa"/>
            <w:tcBorders>
              <w:top w:val="single" w:sz="4" w:space="0" w:color="auto"/>
              <w:left w:val="single" w:sz="4" w:space="0" w:color="auto"/>
              <w:bottom w:val="single" w:sz="4" w:space="0" w:color="auto"/>
              <w:right w:val="single" w:sz="4" w:space="0" w:color="auto"/>
            </w:tcBorders>
            <w:hideMark/>
          </w:tcPr>
          <w:p w:rsidR="00AF56D8" w:rsidRDefault="00AF56D8">
            <w:pPr>
              <w:suppressAutoHyphens w:val="0"/>
              <w:jc w:val="center"/>
            </w:pPr>
            <w:r>
              <w:rPr>
                <w:lang w:val="kk-KZ"/>
              </w:rPr>
              <w:t xml:space="preserve"> </w:t>
            </w:r>
            <w:r>
              <w:t xml:space="preserve">Расходный материал </w:t>
            </w:r>
          </w:p>
        </w:tc>
        <w:tc>
          <w:tcPr>
            <w:tcW w:w="7019"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pPr>
            <w:r>
              <w:t>Термолента 50*20*12 Ч</w:t>
            </w:r>
          </w:p>
        </w:tc>
        <w:tc>
          <w:tcPr>
            <w:tcW w:w="1252" w:type="dxa"/>
            <w:tcBorders>
              <w:top w:val="single" w:sz="4" w:space="0" w:color="auto"/>
              <w:left w:val="single" w:sz="4" w:space="0" w:color="auto"/>
              <w:bottom w:val="single" w:sz="4" w:space="0" w:color="auto"/>
              <w:right w:val="single" w:sz="4" w:space="0" w:color="auto"/>
            </w:tcBorders>
            <w:vAlign w:val="bottom"/>
            <w:hideMark/>
          </w:tcPr>
          <w:p w:rsidR="00AF56D8" w:rsidRDefault="00AF56D8">
            <w:pPr>
              <w:suppressAutoHyphens w:val="0"/>
              <w:jc w:val="center"/>
              <w:rPr>
                <w:lang w:eastAsia="zh-CN"/>
              </w:rPr>
            </w:pPr>
            <w:r>
              <w:rPr>
                <w:lang w:eastAsia="zh-CN"/>
              </w:rPr>
              <w:t>рулон</w:t>
            </w:r>
          </w:p>
        </w:tc>
        <w:tc>
          <w:tcPr>
            <w:tcW w:w="1017" w:type="dxa"/>
            <w:tcBorders>
              <w:top w:val="single" w:sz="6" w:space="0" w:color="000000"/>
              <w:left w:val="single" w:sz="6" w:space="0" w:color="000000"/>
              <w:bottom w:val="single" w:sz="6" w:space="0" w:color="000000"/>
              <w:right w:val="single" w:sz="4" w:space="0" w:color="auto"/>
            </w:tcBorders>
            <w:vAlign w:val="center"/>
            <w:hideMark/>
          </w:tcPr>
          <w:p w:rsidR="00AF56D8" w:rsidRDefault="00AF56D8">
            <w:pPr>
              <w:suppressAutoHyphens w:val="0"/>
              <w:jc w:val="center"/>
            </w:pPr>
            <w:r>
              <w:t>50</w:t>
            </w:r>
          </w:p>
        </w:tc>
        <w:tc>
          <w:tcPr>
            <w:tcW w:w="1287"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pPr>
            <w:r>
              <w:t>280,00</w:t>
            </w:r>
          </w:p>
        </w:tc>
      </w:tr>
      <w:tr w:rsidR="00AF56D8" w:rsidTr="00AF56D8">
        <w:trPr>
          <w:trHeight w:val="277"/>
          <w:jc w:val="center"/>
        </w:trPr>
        <w:tc>
          <w:tcPr>
            <w:tcW w:w="1051" w:type="dxa"/>
            <w:tcBorders>
              <w:top w:val="single" w:sz="4" w:space="0" w:color="auto"/>
              <w:left w:val="single" w:sz="4" w:space="0" w:color="auto"/>
              <w:bottom w:val="single" w:sz="4" w:space="0" w:color="auto"/>
              <w:right w:val="single" w:sz="4" w:space="0" w:color="auto"/>
            </w:tcBorders>
            <w:hideMark/>
          </w:tcPr>
          <w:p w:rsidR="00AF56D8" w:rsidRDefault="00AF56D8">
            <w:pPr>
              <w:suppressAutoHyphens w:val="0"/>
              <w:ind w:left="720"/>
              <w:rPr>
                <w:sz w:val="16"/>
                <w:szCs w:val="16"/>
                <w:lang w:val="kk-KZ" w:eastAsia="ru-RU"/>
              </w:rPr>
            </w:pPr>
            <w:r>
              <w:rPr>
                <w:sz w:val="16"/>
                <w:szCs w:val="16"/>
                <w:lang w:val="kk-KZ" w:eastAsia="ru-RU"/>
              </w:rPr>
              <w:t>7</w:t>
            </w:r>
          </w:p>
        </w:tc>
        <w:tc>
          <w:tcPr>
            <w:tcW w:w="2420"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pPr>
            <w:r>
              <w:t>Тест-полоски для определения АПТВ</w:t>
            </w:r>
          </w:p>
        </w:tc>
        <w:tc>
          <w:tcPr>
            <w:tcW w:w="7019"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pPr>
            <w:r>
              <w:t xml:space="preserve">Специальная пластиковая тест-полоска для количественного определения АПТВ в цельной цитратной крови. Тест-полоска должна быть снабжена штрих-кодом совместимым со сканером анализатора коагуляции закрытого типа </w:t>
            </w:r>
            <w:r>
              <w:rPr>
                <w:lang w:val="en-US"/>
              </w:rPr>
              <w:t>OCG</w:t>
            </w:r>
            <w:r>
              <w:t>-102. На тест-полоске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тест-полоски.</w:t>
            </w:r>
          </w:p>
        </w:tc>
        <w:tc>
          <w:tcPr>
            <w:tcW w:w="1252" w:type="dxa"/>
            <w:tcBorders>
              <w:top w:val="nil"/>
              <w:left w:val="single" w:sz="4" w:space="0" w:color="auto"/>
              <w:bottom w:val="single" w:sz="4" w:space="0" w:color="auto"/>
              <w:right w:val="single" w:sz="4" w:space="0" w:color="auto"/>
            </w:tcBorders>
            <w:vAlign w:val="center"/>
            <w:hideMark/>
          </w:tcPr>
          <w:p w:rsidR="00AF56D8" w:rsidRDefault="00AF56D8">
            <w:pPr>
              <w:suppressAutoHyphens w:val="0"/>
              <w:jc w:val="center"/>
              <w:rPr>
                <w:lang w:eastAsia="zh-CN"/>
              </w:rPr>
            </w:pPr>
            <w:r>
              <w:rPr>
                <w:lang w:eastAsia="en-US"/>
              </w:rPr>
              <w:t>упак</w:t>
            </w:r>
          </w:p>
        </w:tc>
        <w:tc>
          <w:tcPr>
            <w:tcW w:w="1017" w:type="dxa"/>
            <w:tcBorders>
              <w:top w:val="single" w:sz="6" w:space="0" w:color="000000"/>
              <w:left w:val="single" w:sz="6" w:space="0" w:color="000000"/>
              <w:bottom w:val="single" w:sz="6" w:space="0" w:color="000000"/>
              <w:right w:val="single" w:sz="6" w:space="0" w:color="000000"/>
            </w:tcBorders>
            <w:vAlign w:val="center"/>
            <w:hideMark/>
          </w:tcPr>
          <w:p w:rsidR="00AF56D8" w:rsidRDefault="00AF56D8">
            <w:pPr>
              <w:suppressAutoHyphens w:val="0"/>
              <w:jc w:val="center"/>
            </w:pPr>
            <w:r>
              <w:rPr>
                <w:lang w:eastAsia="en-US"/>
              </w:rPr>
              <w:t>10</w:t>
            </w:r>
          </w:p>
        </w:tc>
        <w:tc>
          <w:tcPr>
            <w:tcW w:w="1287" w:type="dxa"/>
            <w:tcBorders>
              <w:top w:val="nil"/>
              <w:left w:val="nil"/>
              <w:bottom w:val="single" w:sz="4" w:space="0" w:color="auto"/>
              <w:right w:val="single" w:sz="4" w:space="0" w:color="auto"/>
            </w:tcBorders>
            <w:vAlign w:val="center"/>
            <w:hideMark/>
          </w:tcPr>
          <w:p w:rsidR="00AF56D8" w:rsidRDefault="00AF56D8">
            <w:pPr>
              <w:suppressAutoHyphens w:val="0"/>
              <w:jc w:val="center"/>
            </w:pPr>
            <w:r>
              <w:rPr>
                <w:lang w:eastAsia="en-US"/>
              </w:rPr>
              <w:t>32 210,00</w:t>
            </w:r>
          </w:p>
        </w:tc>
      </w:tr>
      <w:tr w:rsidR="00AF56D8" w:rsidTr="00AF56D8">
        <w:trPr>
          <w:trHeight w:val="277"/>
          <w:jc w:val="center"/>
        </w:trPr>
        <w:tc>
          <w:tcPr>
            <w:tcW w:w="1051" w:type="dxa"/>
            <w:tcBorders>
              <w:top w:val="single" w:sz="4" w:space="0" w:color="auto"/>
              <w:left w:val="single" w:sz="4" w:space="0" w:color="auto"/>
              <w:bottom w:val="single" w:sz="4" w:space="0" w:color="auto"/>
              <w:right w:val="single" w:sz="4" w:space="0" w:color="auto"/>
            </w:tcBorders>
          </w:tcPr>
          <w:p w:rsidR="00AF56D8" w:rsidRDefault="00AF56D8">
            <w:pPr>
              <w:suppressAutoHyphens w:val="0"/>
              <w:ind w:left="720"/>
              <w:rPr>
                <w:sz w:val="16"/>
                <w:szCs w:val="16"/>
                <w:lang w:val="kk-KZ" w:eastAsia="ru-RU"/>
              </w:rPr>
            </w:pPr>
          </w:p>
          <w:p w:rsidR="00AF56D8" w:rsidRDefault="00AF56D8">
            <w:pPr>
              <w:suppressAutoHyphens w:val="0"/>
              <w:ind w:left="720"/>
              <w:rPr>
                <w:sz w:val="16"/>
                <w:szCs w:val="16"/>
                <w:lang w:val="kk-KZ" w:eastAsia="ru-RU"/>
              </w:rPr>
            </w:pPr>
            <w:r>
              <w:rPr>
                <w:sz w:val="16"/>
                <w:szCs w:val="16"/>
                <w:lang w:val="kk-KZ" w:eastAsia="ru-RU"/>
              </w:rPr>
              <w:t>8</w:t>
            </w:r>
          </w:p>
        </w:tc>
        <w:tc>
          <w:tcPr>
            <w:tcW w:w="2420"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pPr>
            <w:r>
              <w:t>Тест-полоски для определения протромбинового времени</w:t>
            </w:r>
          </w:p>
        </w:tc>
        <w:tc>
          <w:tcPr>
            <w:tcW w:w="7019"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pPr>
            <w:r>
              <w:t xml:space="preserve">Специальная пластиковая тест-полоска для количественного определения протромбинового времени и МНО в цельной цитратной крови. Тест-полоска должна быть снабжена штрих-кодом совместимым со сканером анализатора коагуляции закрытого типа </w:t>
            </w:r>
            <w:r>
              <w:rPr>
                <w:lang w:val="en-US"/>
              </w:rPr>
              <w:t>OCG</w:t>
            </w:r>
            <w:r>
              <w:t xml:space="preserve">-102. На тест-полоске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тест-полоски. </w:t>
            </w:r>
          </w:p>
        </w:tc>
        <w:tc>
          <w:tcPr>
            <w:tcW w:w="1252" w:type="dxa"/>
            <w:tcBorders>
              <w:top w:val="nil"/>
              <w:left w:val="single" w:sz="4" w:space="0" w:color="auto"/>
              <w:bottom w:val="single" w:sz="4" w:space="0" w:color="auto"/>
              <w:right w:val="single" w:sz="4" w:space="0" w:color="auto"/>
            </w:tcBorders>
            <w:vAlign w:val="center"/>
            <w:hideMark/>
          </w:tcPr>
          <w:p w:rsidR="00AF56D8" w:rsidRDefault="00AF56D8">
            <w:pPr>
              <w:suppressAutoHyphens w:val="0"/>
              <w:jc w:val="center"/>
              <w:rPr>
                <w:lang w:eastAsia="zh-CN"/>
              </w:rPr>
            </w:pPr>
            <w:r>
              <w:rPr>
                <w:lang w:eastAsia="en-US"/>
              </w:rPr>
              <w:t>упак</w:t>
            </w:r>
          </w:p>
        </w:tc>
        <w:tc>
          <w:tcPr>
            <w:tcW w:w="1017" w:type="dxa"/>
            <w:tcBorders>
              <w:top w:val="single" w:sz="6" w:space="0" w:color="000000"/>
              <w:left w:val="single" w:sz="6" w:space="0" w:color="000000"/>
              <w:bottom w:val="single" w:sz="6" w:space="0" w:color="000000"/>
              <w:right w:val="single" w:sz="6" w:space="0" w:color="000000"/>
            </w:tcBorders>
            <w:vAlign w:val="center"/>
            <w:hideMark/>
          </w:tcPr>
          <w:p w:rsidR="00AF56D8" w:rsidRDefault="00AF56D8">
            <w:pPr>
              <w:suppressAutoHyphens w:val="0"/>
              <w:jc w:val="center"/>
            </w:pPr>
            <w:r>
              <w:rPr>
                <w:lang w:eastAsia="en-US"/>
              </w:rPr>
              <w:t>20</w:t>
            </w:r>
          </w:p>
        </w:tc>
        <w:tc>
          <w:tcPr>
            <w:tcW w:w="1287" w:type="dxa"/>
            <w:tcBorders>
              <w:top w:val="nil"/>
              <w:left w:val="nil"/>
              <w:bottom w:val="single" w:sz="4" w:space="0" w:color="auto"/>
              <w:right w:val="single" w:sz="4" w:space="0" w:color="auto"/>
            </w:tcBorders>
            <w:vAlign w:val="center"/>
            <w:hideMark/>
          </w:tcPr>
          <w:p w:rsidR="00AF56D8" w:rsidRDefault="00AF56D8">
            <w:pPr>
              <w:suppressAutoHyphens w:val="0"/>
              <w:jc w:val="center"/>
            </w:pPr>
            <w:r>
              <w:rPr>
                <w:lang w:eastAsia="en-US"/>
              </w:rPr>
              <w:t>32 210,00</w:t>
            </w:r>
          </w:p>
        </w:tc>
      </w:tr>
      <w:tr w:rsidR="00AF56D8" w:rsidTr="00AF56D8">
        <w:trPr>
          <w:trHeight w:val="277"/>
          <w:jc w:val="center"/>
        </w:trPr>
        <w:tc>
          <w:tcPr>
            <w:tcW w:w="1051" w:type="dxa"/>
            <w:tcBorders>
              <w:top w:val="single" w:sz="4" w:space="0" w:color="auto"/>
              <w:left w:val="single" w:sz="4" w:space="0" w:color="auto"/>
              <w:bottom w:val="single" w:sz="4" w:space="0" w:color="auto"/>
              <w:right w:val="single" w:sz="4" w:space="0" w:color="auto"/>
            </w:tcBorders>
            <w:hideMark/>
          </w:tcPr>
          <w:p w:rsidR="00AF56D8" w:rsidRDefault="00AF56D8">
            <w:pPr>
              <w:suppressAutoHyphens w:val="0"/>
              <w:ind w:left="720"/>
              <w:rPr>
                <w:sz w:val="16"/>
                <w:szCs w:val="16"/>
                <w:lang w:val="kk-KZ" w:eastAsia="ru-RU"/>
              </w:rPr>
            </w:pPr>
            <w:r>
              <w:rPr>
                <w:sz w:val="16"/>
                <w:szCs w:val="16"/>
                <w:lang w:val="kk-KZ" w:eastAsia="ru-RU"/>
              </w:rPr>
              <w:t>9</w:t>
            </w:r>
          </w:p>
        </w:tc>
        <w:tc>
          <w:tcPr>
            <w:tcW w:w="2420"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pPr>
            <w:r>
              <w:t>Тест-полоски для определения тромбинового времени</w:t>
            </w:r>
          </w:p>
        </w:tc>
        <w:tc>
          <w:tcPr>
            <w:tcW w:w="7019"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pPr>
            <w:r>
              <w:t xml:space="preserve">Специальная пластиковая тест-полоска для количественного определения тромбинового в цельной цитратной крови. Тест-полоска должна быть снабжена штрих-кодом совместимым со сканером анализатора коагуляции закрытого типа </w:t>
            </w:r>
            <w:r>
              <w:rPr>
                <w:lang w:val="en-US"/>
              </w:rPr>
              <w:t>OCG</w:t>
            </w:r>
            <w:r>
              <w:t>-102. На тест-полоске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тест-полоски.</w:t>
            </w:r>
          </w:p>
        </w:tc>
        <w:tc>
          <w:tcPr>
            <w:tcW w:w="1252" w:type="dxa"/>
            <w:tcBorders>
              <w:top w:val="nil"/>
              <w:left w:val="single" w:sz="4" w:space="0" w:color="auto"/>
              <w:bottom w:val="single" w:sz="4" w:space="0" w:color="auto"/>
              <w:right w:val="single" w:sz="4" w:space="0" w:color="auto"/>
            </w:tcBorders>
            <w:vAlign w:val="center"/>
            <w:hideMark/>
          </w:tcPr>
          <w:p w:rsidR="00AF56D8" w:rsidRDefault="00AF56D8">
            <w:pPr>
              <w:suppressAutoHyphens w:val="0"/>
              <w:jc w:val="center"/>
              <w:rPr>
                <w:lang w:eastAsia="zh-CN"/>
              </w:rPr>
            </w:pPr>
            <w:r>
              <w:rPr>
                <w:lang w:eastAsia="en-US"/>
              </w:rPr>
              <w:t>упак</w:t>
            </w:r>
          </w:p>
        </w:tc>
        <w:tc>
          <w:tcPr>
            <w:tcW w:w="1017" w:type="dxa"/>
            <w:tcBorders>
              <w:top w:val="single" w:sz="6" w:space="0" w:color="000000"/>
              <w:left w:val="single" w:sz="6" w:space="0" w:color="000000"/>
              <w:bottom w:val="single" w:sz="6" w:space="0" w:color="000000"/>
              <w:right w:val="single" w:sz="6" w:space="0" w:color="000000"/>
            </w:tcBorders>
            <w:vAlign w:val="center"/>
            <w:hideMark/>
          </w:tcPr>
          <w:p w:rsidR="00AF56D8" w:rsidRDefault="00AF56D8">
            <w:pPr>
              <w:suppressAutoHyphens w:val="0"/>
              <w:jc w:val="center"/>
            </w:pPr>
            <w:r>
              <w:rPr>
                <w:lang w:eastAsia="en-US"/>
              </w:rPr>
              <w:t>5</w:t>
            </w:r>
          </w:p>
        </w:tc>
        <w:tc>
          <w:tcPr>
            <w:tcW w:w="1287" w:type="dxa"/>
            <w:tcBorders>
              <w:top w:val="nil"/>
              <w:left w:val="nil"/>
              <w:bottom w:val="single" w:sz="4" w:space="0" w:color="auto"/>
              <w:right w:val="single" w:sz="4" w:space="0" w:color="auto"/>
            </w:tcBorders>
            <w:vAlign w:val="center"/>
            <w:hideMark/>
          </w:tcPr>
          <w:p w:rsidR="00AF56D8" w:rsidRDefault="00AF56D8">
            <w:pPr>
              <w:suppressAutoHyphens w:val="0"/>
              <w:jc w:val="center"/>
            </w:pPr>
            <w:r>
              <w:rPr>
                <w:lang w:eastAsia="en-US"/>
              </w:rPr>
              <w:t>37 500,00</w:t>
            </w:r>
          </w:p>
        </w:tc>
      </w:tr>
      <w:tr w:rsidR="00AF56D8" w:rsidTr="00AF56D8">
        <w:trPr>
          <w:trHeight w:val="277"/>
          <w:jc w:val="center"/>
        </w:trPr>
        <w:tc>
          <w:tcPr>
            <w:tcW w:w="1051" w:type="dxa"/>
            <w:tcBorders>
              <w:top w:val="single" w:sz="4" w:space="0" w:color="auto"/>
              <w:left w:val="single" w:sz="4" w:space="0" w:color="auto"/>
              <w:bottom w:val="single" w:sz="4" w:space="0" w:color="auto"/>
              <w:right w:val="single" w:sz="4" w:space="0" w:color="auto"/>
            </w:tcBorders>
            <w:hideMark/>
          </w:tcPr>
          <w:p w:rsidR="00AF56D8" w:rsidRDefault="00AF56D8">
            <w:pPr>
              <w:suppressAutoHyphens w:val="0"/>
              <w:ind w:left="720"/>
              <w:rPr>
                <w:sz w:val="16"/>
                <w:szCs w:val="16"/>
                <w:lang w:val="kk-KZ" w:eastAsia="ru-RU"/>
              </w:rPr>
            </w:pPr>
            <w:r>
              <w:rPr>
                <w:sz w:val="16"/>
                <w:szCs w:val="16"/>
                <w:lang w:val="kk-KZ" w:eastAsia="ru-RU"/>
              </w:rPr>
              <w:t>10</w:t>
            </w:r>
          </w:p>
        </w:tc>
        <w:tc>
          <w:tcPr>
            <w:tcW w:w="2420"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pPr>
            <w:r>
              <w:t xml:space="preserve">Тест-полоски для определения концентрации </w:t>
            </w:r>
            <w:r>
              <w:lastRenderedPageBreak/>
              <w:t>фибриногена</w:t>
            </w:r>
          </w:p>
        </w:tc>
        <w:tc>
          <w:tcPr>
            <w:tcW w:w="7019"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pPr>
            <w:r>
              <w:lastRenderedPageBreak/>
              <w:t xml:space="preserve">Специальная пластиковая тест-полоска для количественного определения концентрации фибриногена в цельной цитратной крови. Тест-полоска должна быть снабжена штрих-кодом совместимым со сканером анализатора </w:t>
            </w:r>
            <w:r>
              <w:lastRenderedPageBreak/>
              <w:t xml:space="preserve">коагуляции закрытого типа </w:t>
            </w:r>
            <w:r>
              <w:rPr>
                <w:lang w:val="en-US"/>
              </w:rPr>
              <w:t>OCG</w:t>
            </w:r>
            <w:r>
              <w:t>-102. На тест-полоске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тест-полоски.</w:t>
            </w:r>
          </w:p>
        </w:tc>
        <w:tc>
          <w:tcPr>
            <w:tcW w:w="1252" w:type="dxa"/>
            <w:tcBorders>
              <w:top w:val="nil"/>
              <w:left w:val="single" w:sz="4" w:space="0" w:color="auto"/>
              <w:bottom w:val="single" w:sz="4" w:space="0" w:color="auto"/>
              <w:right w:val="single" w:sz="4" w:space="0" w:color="auto"/>
            </w:tcBorders>
            <w:vAlign w:val="center"/>
            <w:hideMark/>
          </w:tcPr>
          <w:p w:rsidR="00AF56D8" w:rsidRDefault="00AF56D8">
            <w:pPr>
              <w:suppressAutoHyphens w:val="0"/>
              <w:jc w:val="center"/>
              <w:rPr>
                <w:lang w:eastAsia="zh-CN"/>
              </w:rPr>
            </w:pPr>
            <w:r>
              <w:rPr>
                <w:lang w:eastAsia="en-US"/>
              </w:rPr>
              <w:lastRenderedPageBreak/>
              <w:t>упак</w:t>
            </w:r>
          </w:p>
        </w:tc>
        <w:tc>
          <w:tcPr>
            <w:tcW w:w="1017" w:type="dxa"/>
            <w:tcBorders>
              <w:top w:val="single" w:sz="6" w:space="0" w:color="000000"/>
              <w:left w:val="single" w:sz="6" w:space="0" w:color="000000"/>
              <w:bottom w:val="single" w:sz="4" w:space="0" w:color="auto"/>
              <w:right w:val="single" w:sz="6" w:space="0" w:color="000000"/>
            </w:tcBorders>
            <w:vAlign w:val="center"/>
            <w:hideMark/>
          </w:tcPr>
          <w:p w:rsidR="00AF56D8" w:rsidRDefault="00AF56D8">
            <w:pPr>
              <w:suppressAutoHyphens w:val="0"/>
              <w:jc w:val="center"/>
            </w:pPr>
            <w:r>
              <w:rPr>
                <w:lang w:eastAsia="en-US"/>
              </w:rPr>
              <w:t>10</w:t>
            </w:r>
          </w:p>
        </w:tc>
        <w:tc>
          <w:tcPr>
            <w:tcW w:w="1287" w:type="dxa"/>
            <w:tcBorders>
              <w:top w:val="nil"/>
              <w:left w:val="nil"/>
              <w:bottom w:val="single" w:sz="4" w:space="0" w:color="auto"/>
              <w:right w:val="single" w:sz="4" w:space="0" w:color="auto"/>
            </w:tcBorders>
            <w:vAlign w:val="center"/>
            <w:hideMark/>
          </w:tcPr>
          <w:p w:rsidR="00AF56D8" w:rsidRDefault="00AF56D8">
            <w:pPr>
              <w:suppressAutoHyphens w:val="0"/>
              <w:jc w:val="center"/>
            </w:pPr>
            <w:r>
              <w:rPr>
                <w:lang w:eastAsia="en-US"/>
              </w:rPr>
              <w:t>34 850,00</w:t>
            </w:r>
          </w:p>
        </w:tc>
      </w:tr>
      <w:tr w:rsidR="00AF56D8" w:rsidTr="00AF56D8">
        <w:trPr>
          <w:trHeight w:val="277"/>
          <w:jc w:val="center"/>
        </w:trPr>
        <w:tc>
          <w:tcPr>
            <w:tcW w:w="1051" w:type="dxa"/>
            <w:tcBorders>
              <w:top w:val="single" w:sz="4" w:space="0" w:color="auto"/>
              <w:left w:val="single" w:sz="4" w:space="0" w:color="auto"/>
              <w:bottom w:val="single" w:sz="4" w:space="0" w:color="auto"/>
              <w:right w:val="single" w:sz="4" w:space="0" w:color="auto"/>
            </w:tcBorders>
            <w:hideMark/>
          </w:tcPr>
          <w:p w:rsidR="00AF56D8" w:rsidRDefault="00AF56D8">
            <w:pPr>
              <w:suppressAutoHyphens w:val="0"/>
              <w:ind w:left="720"/>
              <w:rPr>
                <w:sz w:val="16"/>
                <w:szCs w:val="16"/>
                <w:lang w:val="kk-KZ" w:eastAsia="ru-RU"/>
              </w:rPr>
            </w:pPr>
            <w:r>
              <w:rPr>
                <w:sz w:val="16"/>
                <w:szCs w:val="16"/>
                <w:lang w:val="kk-KZ" w:eastAsia="ru-RU"/>
              </w:rPr>
              <w:lastRenderedPageBreak/>
              <w:t>11</w:t>
            </w:r>
          </w:p>
        </w:tc>
        <w:tc>
          <w:tcPr>
            <w:tcW w:w="2420"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pPr>
            <w:r>
              <w:t>Контрольный материал для клоттинговых тестов</w:t>
            </w:r>
          </w:p>
        </w:tc>
        <w:tc>
          <w:tcPr>
            <w:tcW w:w="7019"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pPr>
            <w:r>
              <w:t>Специальный контрольный материал для проведения QC клоттинговых тестов при выполнении исследований с помощью тест-полосок на анализаторе коагуляции закрытого типа OCG-102. Контрольный материал представляет из себя плазму со специальной обработкой цитратом натрия. Контроль должен быть двухуровневым и состоять из двух флаконов с нормальным и патологическим диапазонами. Обязательное наличие аттестованных референтных значений.</w:t>
            </w:r>
          </w:p>
        </w:tc>
        <w:tc>
          <w:tcPr>
            <w:tcW w:w="1252"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pPr>
            <w:r>
              <w:rPr>
                <w:lang w:eastAsia="en-US"/>
              </w:rPr>
              <w:t>шт</w:t>
            </w:r>
          </w:p>
        </w:tc>
        <w:tc>
          <w:tcPr>
            <w:tcW w:w="1017"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pPr>
            <w:r>
              <w:rPr>
                <w:lang w:eastAsia="en-US"/>
              </w:rPr>
              <w:t>1</w:t>
            </w:r>
          </w:p>
        </w:tc>
        <w:tc>
          <w:tcPr>
            <w:tcW w:w="1287" w:type="dxa"/>
            <w:tcBorders>
              <w:top w:val="single" w:sz="4" w:space="0" w:color="auto"/>
              <w:left w:val="single" w:sz="4" w:space="0" w:color="auto"/>
              <w:bottom w:val="single" w:sz="4" w:space="0" w:color="auto"/>
              <w:right w:val="single" w:sz="4" w:space="0" w:color="auto"/>
            </w:tcBorders>
            <w:vAlign w:val="center"/>
            <w:hideMark/>
          </w:tcPr>
          <w:p w:rsidR="00AF56D8" w:rsidRDefault="00AF56D8">
            <w:pPr>
              <w:suppressAutoHyphens w:val="0"/>
              <w:jc w:val="center"/>
            </w:pPr>
            <w:r>
              <w:rPr>
                <w:lang w:eastAsia="en-US"/>
              </w:rPr>
              <w:t>26 400,00</w:t>
            </w:r>
          </w:p>
        </w:tc>
      </w:tr>
    </w:tbl>
    <w:p w:rsidR="00AF56D8" w:rsidRDefault="00AF56D8" w:rsidP="00AF56D8">
      <w:pPr>
        <w:spacing w:after="160" w:line="252" w:lineRule="auto"/>
        <w:ind w:left="720"/>
        <w:rPr>
          <w:b/>
          <w:color w:val="000000"/>
          <w:sz w:val="22"/>
          <w:szCs w:val="22"/>
        </w:rPr>
      </w:pPr>
    </w:p>
    <w:p w:rsidR="00AF56D8" w:rsidRDefault="00AF56D8" w:rsidP="00AF56D8">
      <w:pPr>
        <w:shd w:val="clear" w:color="auto" w:fill="FFFFFF"/>
        <w:suppressAutoHyphens w:val="0"/>
        <w:rPr>
          <w:rFonts w:ascii="Calibri" w:hAnsi="Calibri"/>
          <w:color w:val="000000"/>
          <w:sz w:val="23"/>
          <w:szCs w:val="23"/>
          <w:lang w:eastAsia="ru-RU"/>
        </w:rPr>
      </w:pPr>
      <w:r>
        <w:rPr>
          <w:rFonts w:ascii="yandex-sans" w:hAnsi="yandex-sans"/>
          <w:color w:val="000000"/>
          <w:sz w:val="23"/>
          <w:szCs w:val="23"/>
          <w:lang w:eastAsia="ru-RU"/>
        </w:rPr>
        <w:t>2 Решено: Признать по лоту №1</w:t>
      </w:r>
      <w:r>
        <w:rPr>
          <w:rFonts w:ascii="Calibri" w:hAnsi="Calibri"/>
          <w:color w:val="000000"/>
          <w:sz w:val="23"/>
          <w:szCs w:val="23"/>
          <w:lang w:eastAsia="ru-RU"/>
        </w:rPr>
        <w:t>-11</w:t>
      </w:r>
      <w:r>
        <w:rPr>
          <w:rFonts w:ascii="yandex-sans" w:hAnsi="yandex-sans"/>
          <w:color w:val="000000"/>
          <w:sz w:val="23"/>
          <w:szCs w:val="23"/>
          <w:lang w:eastAsia="ru-RU"/>
        </w:rPr>
        <w:t xml:space="preserve"> победителем ТОО "МедТехСервис"</w:t>
      </w:r>
    </w:p>
    <w:p w:rsidR="00AF56D8" w:rsidRDefault="00AF56D8" w:rsidP="00AF56D8">
      <w:pPr>
        <w:shd w:val="clear" w:color="auto" w:fill="FFFFFF"/>
        <w:suppressAutoHyphens w:val="0"/>
        <w:rPr>
          <w:rFonts w:ascii="yandex-sans" w:hAnsi="yandex-sans"/>
          <w:color w:val="000000"/>
          <w:sz w:val="23"/>
          <w:szCs w:val="23"/>
          <w:lang w:eastAsia="ru-RU"/>
        </w:rPr>
      </w:pPr>
      <w:r>
        <w:rPr>
          <w:rFonts w:ascii="yandex-sans" w:hAnsi="yandex-sans"/>
          <w:color w:val="000000"/>
          <w:sz w:val="23"/>
          <w:szCs w:val="23"/>
          <w:lang w:eastAsia="ru-RU"/>
        </w:rPr>
        <w:t>ТОО "МедТехСервис"представляет заказчику в течении десяти календарных дней документы, подтверждающие соответствие</w:t>
      </w:r>
    </w:p>
    <w:p w:rsidR="00AF56D8" w:rsidRDefault="00AF56D8" w:rsidP="00AF56D8">
      <w:pPr>
        <w:shd w:val="clear" w:color="auto" w:fill="FFFFFF"/>
        <w:suppressAutoHyphens w:val="0"/>
        <w:rPr>
          <w:rFonts w:ascii="yandex-sans" w:hAnsi="yandex-sans"/>
          <w:color w:val="000000"/>
          <w:sz w:val="23"/>
          <w:szCs w:val="23"/>
          <w:lang w:eastAsia="ru-RU"/>
        </w:rPr>
      </w:pPr>
      <w:r>
        <w:rPr>
          <w:rFonts w:ascii="yandex-sans" w:hAnsi="yandex-sans"/>
          <w:color w:val="000000"/>
          <w:sz w:val="23"/>
          <w:szCs w:val="23"/>
          <w:lang w:eastAsia="ru-RU"/>
        </w:rPr>
        <w:t>квалификационным требованиям согласно п. 113 Правил</w:t>
      </w:r>
    </w:p>
    <w:p w:rsidR="00AF56D8" w:rsidRDefault="00AF56D8" w:rsidP="00AF56D8">
      <w:pPr>
        <w:spacing w:after="160" w:line="252" w:lineRule="auto"/>
        <w:ind w:left="720"/>
        <w:rPr>
          <w:b/>
          <w:color w:val="000000"/>
          <w:sz w:val="22"/>
          <w:szCs w:val="22"/>
        </w:rPr>
      </w:pPr>
    </w:p>
    <w:p w:rsidR="00AF56D8" w:rsidRDefault="00AF56D8" w:rsidP="00AF56D8">
      <w:pPr>
        <w:spacing w:after="160" w:line="252" w:lineRule="auto"/>
        <w:ind w:left="720"/>
        <w:rPr>
          <w:b/>
          <w:color w:val="000000"/>
          <w:sz w:val="22"/>
          <w:szCs w:val="22"/>
        </w:rPr>
      </w:pPr>
    </w:p>
    <w:p w:rsidR="00AF56D8" w:rsidRDefault="00AF56D8" w:rsidP="00AF56D8">
      <w:pPr>
        <w:spacing w:after="160" w:line="252" w:lineRule="auto"/>
        <w:ind w:left="720"/>
        <w:rPr>
          <w:b/>
          <w:color w:val="000000"/>
          <w:sz w:val="22"/>
          <w:szCs w:val="22"/>
        </w:rPr>
      </w:pPr>
    </w:p>
    <w:p w:rsidR="00AF56D8" w:rsidRDefault="00AF56D8" w:rsidP="00AF56D8">
      <w:pPr>
        <w:spacing w:after="160" w:line="252" w:lineRule="auto"/>
        <w:ind w:left="720"/>
        <w:rPr>
          <w:b/>
          <w:color w:val="000000"/>
          <w:sz w:val="22"/>
          <w:szCs w:val="22"/>
        </w:rPr>
      </w:pPr>
    </w:p>
    <w:p w:rsidR="00AF56D8" w:rsidRDefault="00AF56D8" w:rsidP="00AF56D8">
      <w:pPr>
        <w:spacing w:after="160" w:line="252" w:lineRule="auto"/>
        <w:ind w:left="720"/>
        <w:rPr>
          <w:b/>
          <w:color w:val="000000"/>
          <w:sz w:val="22"/>
          <w:szCs w:val="22"/>
        </w:rPr>
      </w:pPr>
    </w:p>
    <w:p w:rsidR="00AF56D8" w:rsidRDefault="00AF56D8" w:rsidP="00AF56D8">
      <w:pPr>
        <w:spacing w:after="160" w:line="252" w:lineRule="auto"/>
        <w:ind w:left="720"/>
        <w:rPr>
          <w:b/>
          <w:color w:val="000000"/>
          <w:sz w:val="22"/>
          <w:szCs w:val="22"/>
        </w:rPr>
      </w:pPr>
    </w:p>
    <w:p w:rsidR="00AF56D8" w:rsidRDefault="00AF56D8" w:rsidP="00AF56D8">
      <w:pPr>
        <w:spacing w:after="160" w:line="252" w:lineRule="auto"/>
        <w:ind w:left="720"/>
        <w:rPr>
          <w:b/>
          <w:color w:val="000000"/>
          <w:sz w:val="22"/>
          <w:szCs w:val="22"/>
        </w:rPr>
      </w:pPr>
    </w:p>
    <w:p w:rsidR="00AF56D8" w:rsidRDefault="00AF56D8" w:rsidP="00AF56D8">
      <w:pPr>
        <w:spacing w:after="160" w:line="252" w:lineRule="auto"/>
        <w:ind w:left="720"/>
        <w:rPr>
          <w:b/>
          <w:color w:val="000000"/>
          <w:sz w:val="22"/>
          <w:szCs w:val="22"/>
        </w:rPr>
      </w:pPr>
    </w:p>
    <w:p w:rsidR="002A70DB" w:rsidRDefault="002A70DB"/>
    <w:sectPr w:rsidR="002A70DB" w:rsidSect="00AF56D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yandex-sans">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AF56D8"/>
    <w:rsid w:val="002A70DB"/>
    <w:rsid w:val="00AF56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6D8"/>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968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5404</Characters>
  <Application>Microsoft Office Word</Application>
  <DocSecurity>0</DocSecurity>
  <Lines>45</Lines>
  <Paragraphs>12</Paragraphs>
  <ScaleCrop>false</ScaleCrop>
  <Company>SPecialiST RePack</Company>
  <LinksUpToDate>false</LinksUpToDate>
  <CharactersWithSpaces>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Goszakup</cp:lastModifiedBy>
  <cp:revision>2</cp:revision>
  <dcterms:created xsi:type="dcterms:W3CDTF">2021-05-11T05:10:00Z</dcterms:created>
  <dcterms:modified xsi:type="dcterms:W3CDTF">2021-05-11T05:10:00Z</dcterms:modified>
</cp:coreProperties>
</file>